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1D" w:rsidRPr="00D2649F" w:rsidRDefault="00FB491D" w:rsidP="00FB491D">
      <w:pPr>
        <w:ind w:left="720" w:hanging="360"/>
        <w:jc w:val="center"/>
        <w:rPr>
          <w:b/>
          <w:color w:val="0070C0"/>
          <w:sz w:val="48"/>
          <w:szCs w:val="48"/>
        </w:rPr>
      </w:pPr>
      <w:r w:rsidRPr="00D2649F">
        <w:rPr>
          <w:b/>
          <w:color w:val="0070C0"/>
          <w:sz w:val="48"/>
          <w:szCs w:val="48"/>
        </w:rPr>
        <w:t>F</w:t>
      </w:r>
      <w:r>
        <w:rPr>
          <w:b/>
          <w:color w:val="0070C0"/>
          <w:sz w:val="48"/>
          <w:szCs w:val="48"/>
        </w:rPr>
        <w:t>UTSAL</w:t>
      </w:r>
    </w:p>
    <w:p w:rsidR="00FB491D" w:rsidRDefault="00FB491D" w:rsidP="00FB491D">
      <w:pPr>
        <w:pStyle w:val="Paragraphedeliste"/>
        <w:jc w:val="center"/>
        <w:rPr>
          <w:b/>
          <w:color w:val="0070C0"/>
          <w:sz w:val="40"/>
          <w:szCs w:val="40"/>
        </w:rPr>
      </w:pPr>
    </w:p>
    <w:p w:rsidR="00FB491D" w:rsidRPr="00573648" w:rsidRDefault="00FB491D" w:rsidP="00FB491D">
      <w:pPr>
        <w:pStyle w:val="Paragraphedeliste"/>
        <w:jc w:val="center"/>
        <w:rPr>
          <w:b/>
          <w:color w:val="0070C0"/>
          <w:sz w:val="40"/>
          <w:szCs w:val="40"/>
        </w:rPr>
      </w:pPr>
      <w:r w:rsidRPr="00573648">
        <w:rPr>
          <w:b/>
          <w:color w:val="0070C0"/>
          <w:sz w:val="40"/>
          <w:szCs w:val="40"/>
        </w:rPr>
        <w:t>LOI 4 – ÉQUIPEMENT DES JOUEURS</w:t>
      </w:r>
    </w:p>
    <w:p w:rsidR="00FB491D" w:rsidRDefault="00FB491D"/>
    <w:p w:rsidR="00FB491D" w:rsidRDefault="00FB491D"/>
    <w:p w:rsidR="00164F49" w:rsidRDefault="00FB491D" w:rsidP="00164F49">
      <w:pPr>
        <w:ind w:left="851" w:hanging="284"/>
      </w:pPr>
      <w:r w:rsidRPr="00164F49">
        <w:rPr>
          <w:highlight w:val="yellow"/>
        </w:rPr>
        <w:t>Sécurité L’équipement ou la tenue des joueurs ne doit en aucun cas présenter un danger quelconque pour eux-mêmes ou les autres</w:t>
      </w:r>
      <w:r>
        <w:t xml:space="preserve">. Cela s’applique aussi aux bijoux en tous genres. Équipement de base L’équipement de base obligatoire de tout joueur comprend les éléments distincts suivants : </w:t>
      </w:r>
    </w:p>
    <w:p w:rsidR="00164F49" w:rsidRDefault="00FB491D" w:rsidP="00164F49">
      <w:pPr>
        <w:ind w:left="851" w:hanging="284"/>
      </w:pPr>
      <w:r>
        <w:t xml:space="preserve">• </w:t>
      </w:r>
      <w:r w:rsidRPr="00164F49">
        <w:rPr>
          <w:b/>
        </w:rPr>
        <w:t>un maillot</w:t>
      </w:r>
      <w:r>
        <w:t xml:space="preserve"> – si le joueur porte un maillot de corps, la couleur des manches de celui-ci doit être de la couleur dominante des manches du maillot ; </w:t>
      </w:r>
    </w:p>
    <w:p w:rsidR="00164F49" w:rsidRDefault="00FB491D" w:rsidP="00164F49">
      <w:pPr>
        <w:ind w:left="851" w:hanging="284"/>
      </w:pPr>
      <w:r>
        <w:t xml:space="preserve">• </w:t>
      </w:r>
      <w:r w:rsidRPr="00164F49">
        <w:rPr>
          <w:b/>
        </w:rPr>
        <w:t>un short</w:t>
      </w:r>
      <w:r>
        <w:t xml:space="preserve"> – si le joueur porte des cuissards, ceux-ci doivent être de la même couleur que la couleur dominante du short. Le gardien de but est autorisé à porter un pantalon de survêtement ; </w:t>
      </w:r>
    </w:p>
    <w:p w:rsidR="00164F49" w:rsidRDefault="00FB491D" w:rsidP="00164F49">
      <w:pPr>
        <w:ind w:left="851" w:hanging="284"/>
      </w:pPr>
      <w:r>
        <w:t xml:space="preserve">• </w:t>
      </w:r>
      <w:r w:rsidRPr="00164F49">
        <w:rPr>
          <w:b/>
        </w:rPr>
        <w:t>des chaussettes</w:t>
      </w:r>
      <w:r>
        <w:t xml:space="preserve"> – si un ruban adhésif ou matériau similaire est appliqué à l’extérieur, il doit être de la même couleur que la partie de la chaussette sur laquelle il est appliqué ; </w:t>
      </w:r>
    </w:p>
    <w:p w:rsidR="00164F49" w:rsidRDefault="00FB491D" w:rsidP="00164F49">
      <w:pPr>
        <w:ind w:left="851" w:hanging="284"/>
      </w:pPr>
      <w:r>
        <w:t xml:space="preserve">• </w:t>
      </w:r>
      <w:r w:rsidRPr="00164F49">
        <w:rPr>
          <w:b/>
        </w:rPr>
        <w:t>des protège-tibias</w:t>
      </w:r>
      <w:r>
        <w:t xml:space="preserve"> ; </w:t>
      </w:r>
    </w:p>
    <w:p w:rsidR="00164F49" w:rsidRDefault="00FB491D" w:rsidP="00164F49">
      <w:pPr>
        <w:ind w:left="851" w:hanging="284"/>
      </w:pPr>
      <w:r>
        <w:t xml:space="preserve">• </w:t>
      </w:r>
      <w:r w:rsidRPr="00164F49">
        <w:rPr>
          <w:b/>
        </w:rPr>
        <w:t xml:space="preserve">des chaussures </w:t>
      </w:r>
      <w:r>
        <w:t xml:space="preserve">– les seules autorisées sont des chaussures en toile ou des chaussures de sport en cuir mou avec semelles en caoutchouc ou en matière similaire. </w:t>
      </w:r>
    </w:p>
    <w:p w:rsidR="00164F49" w:rsidRPr="00164F49" w:rsidRDefault="00FB491D" w:rsidP="00164F49">
      <w:pPr>
        <w:ind w:left="851" w:hanging="284"/>
        <w:rPr>
          <w:b/>
        </w:rPr>
      </w:pPr>
      <w:r w:rsidRPr="00164F49">
        <w:rPr>
          <w:b/>
        </w:rPr>
        <w:t xml:space="preserve">Protège-tibias </w:t>
      </w:r>
    </w:p>
    <w:p w:rsidR="00164F49" w:rsidRDefault="00FB491D" w:rsidP="00164F49">
      <w:pPr>
        <w:ind w:left="851" w:firstLine="425"/>
      </w:pPr>
      <w:r>
        <w:t xml:space="preserve">• Ils doivent être entièrement couverts par les chaussettes. </w:t>
      </w:r>
    </w:p>
    <w:p w:rsidR="00164F49" w:rsidRDefault="00FB491D" w:rsidP="00164F49">
      <w:pPr>
        <w:ind w:left="851" w:firstLine="425"/>
      </w:pPr>
      <w:r>
        <w:t xml:space="preserve">• Ils doivent être en caoutchouc, plastique ou autre matière similaire appropriée. </w:t>
      </w:r>
    </w:p>
    <w:p w:rsidR="00164F49" w:rsidRDefault="00FB491D" w:rsidP="00164F49">
      <w:pPr>
        <w:ind w:left="851" w:firstLine="425"/>
      </w:pPr>
      <w:r>
        <w:t xml:space="preserve">• Ils doivent toujours offrir une protection adéquate. </w:t>
      </w:r>
    </w:p>
    <w:p w:rsidR="00164F49" w:rsidRDefault="00164F49" w:rsidP="00164F49">
      <w:pPr>
        <w:ind w:left="851" w:firstLine="425"/>
      </w:pPr>
    </w:p>
    <w:p w:rsidR="00164F49" w:rsidRPr="00164F49" w:rsidRDefault="00FB491D" w:rsidP="00164F49">
      <w:pPr>
        <w:ind w:left="851" w:hanging="284"/>
        <w:rPr>
          <w:b/>
        </w:rPr>
      </w:pPr>
      <w:r w:rsidRPr="00164F49">
        <w:rPr>
          <w:b/>
        </w:rPr>
        <w:t xml:space="preserve">Couleurs </w:t>
      </w:r>
    </w:p>
    <w:p w:rsidR="00164F49" w:rsidRDefault="00FB491D" w:rsidP="00164F49">
      <w:pPr>
        <w:ind w:left="1560" w:hanging="284"/>
      </w:pPr>
      <w:r>
        <w:t xml:space="preserve">• Les deux équipes doivent porter des couleurs les distinguant l’une de l’autre mais les distinguant aussi des arbitres et arbitres assistants. </w:t>
      </w:r>
    </w:p>
    <w:p w:rsidR="001451CB" w:rsidRDefault="00FB491D" w:rsidP="00164F49">
      <w:pPr>
        <w:ind w:left="1560" w:hanging="284"/>
      </w:pPr>
      <w:r>
        <w:t>• Chaque gardien doit porter une tenue de couleur nettement différente de celle des autres joueurs, des arbitres et des arbitres assistants.</w:t>
      </w:r>
    </w:p>
    <w:p w:rsidR="00164F49" w:rsidRDefault="00164F49" w:rsidP="00164F49">
      <w:pPr>
        <w:ind w:left="1560" w:hanging="284"/>
      </w:pPr>
    </w:p>
    <w:p w:rsidR="00164F49" w:rsidRDefault="00FB491D" w:rsidP="00164F49">
      <w:pPr>
        <w:ind w:left="851" w:hanging="284"/>
      </w:pPr>
      <w:r w:rsidRPr="00164F49">
        <w:rPr>
          <w:b/>
        </w:rPr>
        <w:t>Infractions et sanctions</w:t>
      </w:r>
      <w:r>
        <w:t xml:space="preserve"> Pour toute infraction à la présente Loi : </w:t>
      </w:r>
    </w:p>
    <w:p w:rsidR="00164F49" w:rsidRDefault="00FB491D" w:rsidP="00164F49">
      <w:pPr>
        <w:ind w:left="1560" w:hanging="284"/>
      </w:pPr>
      <w:r>
        <w:t xml:space="preserve">• le jeu ne doit pas nécessairement être arrêté ; </w:t>
      </w:r>
    </w:p>
    <w:p w:rsidR="00164F49" w:rsidRDefault="00FB491D" w:rsidP="00164F49">
      <w:pPr>
        <w:ind w:left="1560" w:hanging="284"/>
      </w:pPr>
      <w:r>
        <w:lastRenderedPageBreak/>
        <w:t xml:space="preserve">• le joueur contrevenant devra quitter le terrain dès le prochain arrêt de jeu pour changer de tenue, à moins qu’il n’ait déjà changé de tenue ; </w:t>
      </w:r>
    </w:p>
    <w:p w:rsidR="00164F49" w:rsidRDefault="00FB491D" w:rsidP="00164F49">
      <w:pPr>
        <w:ind w:left="1560" w:hanging="284"/>
      </w:pPr>
      <w:r>
        <w:t xml:space="preserve">• tout joueur ayant dû quitter le terrain pour changer de tenue ne pourra y revenir sans y avoir été autorisé par les arbitres ou le troisième arbitre ; </w:t>
      </w:r>
    </w:p>
    <w:p w:rsidR="00164F49" w:rsidRDefault="00FB491D" w:rsidP="00164F49">
      <w:pPr>
        <w:ind w:left="1560" w:hanging="284"/>
      </w:pPr>
      <w:r>
        <w:t xml:space="preserve">• les arbitres – et tant que possible le troisième arbitre – devront contrôler la conformité de l’équipement du joueur avant de l’autoriser à revenir sur le terrain ; </w:t>
      </w:r>
    </w:p>
    <w:p w:rsidR="00164F49" w:rsidRDefault="00FB491D" w:rsidP="00164F49">
      <w:pPr>
        <w:ind w:left="1560" w:hanging="284"/>
      </w:pPr>
      <w:r>
        <w:t xml:space="preserve">• le joueur, s’il n’a pas été remplacé, ne pourra revenir sur le terrain que lors d’un arrêt de jeu – à moins que le troisième arbitre l’autorise à entrer sur le terrain quand le ballon est en jeu. Un joueur qui aura dû quitter le terrain pour avoir enfreint la présente Loi – et qui n’aura pas été remplacé auparavant – sera averti s’il retourne sur le terrain sans l’autorisation des arbitres ou du troisième arbitre. </w:t>
      </w:r>
    </w:p>
    <w:p w:rsidR="00164F49" w:rsidRDefault="00164F49" w:rsidP="00164F49">
      <w:pPr>
        <w:ind w:left="1560" w:hanging="284"/>
      </w:pPr>
    </w:p>
    <w:p w:rsidR="00164F49" w:rsidRDefault="00FB491D" w:rsidP="00164F49">
      <w:pPr>
        <w:ind w:left="851" w:hanging="284"/>
      </w:pPr>
      <w:r w:rsidRPr="00164F49">
        <w:rPr>
          <w:b/>
        </w:rPr>
        <w:t>Reprise du jeu</w:t>
      </w:r>
      <w:r>
        <w:t xml:space="preserve"> Si les arbitres interrompent le jeu pour avertir le joueur fautif : </w:t>
      </w:r>
    </w:p>
    <w:p w:rsidR="00164F49" w:rsidRDefault="00FB491D" w:rsidP="00164F49">
      <w:pPr>
        <w:ind w:left="1560" w:hanging="284"/>
      </w:pPr>
      <w:r>
        <w:t>• le match reprendra par un coup franc indirect exécuté par un joueur de l’équipe adverse à l’endroit où se trouvait le ballon au moment où les a</w:t>
      </w:r>
      <w:r w:rsidRPr="00FB491D">
        <w:t xml:space="preserve"> </w:t>
      </w:r>
      <w:r>
        <w:t xml:space="preserve">Publicité sur l’équipement Équipement de base obligatoire L’équipement de base obligatoire ne doit présenter aucun slogan, inscription ou image à caractère politique, religieux ou personnel. L’équipe d’un joueur dont l’équipement de base obligatoire présente une inscription, un slogan ou une image à caractère politique, religieux ou personnel sera sanctionnée par l’organisateur de la compétition ou par la FIFA. Sous-vêtements Les joueurs ne sont pas autorisés à exhiber de slogans, messages ou images à caractère politique, religieux, personnel ou publicitaire sur leurs </w:t>
      </w:r>
      <w:r w:rsidR="00164F49">
        <w:t>sous-</w:t>
      </w:r>
      <w:bookmarkStart w:id="0" w:name="_GoBack"/>
      <w:bookmarkEnd w:id="0"/>
      <w:r w:rsidR="00164F49">
        <w:t>vêtements</w:t>
      </w:r>
      <w:r>
        <w:t xml:space="preserve"> autre que le logo du fabriquant. </w:t>
      </w:r>
    </w:p>
    <w:p w:rsidR="00FB491D" w:rsidRDefault="00FB491D" w:rsidP="00164F49">
      <w:pPr>
        <w:ind w:left="1560" w:hanging="284"/>
      </w:pPr>
      <w:r>
        <w:t xml:space="preserve">Un joueur/l’équipe d’un joueur exhibant tout slogan, message ou image à caractère politique, religieux, personnel ou publicitaire sur ses sous-vêtements autre que le logo du fabriquant sera sanctionné(e) par l’organisateur de la compétition ou par la </w:t>
      </w:r>
      <w:proofErr w:type="gramStart"/>
      <w:r>
        <w:t>FIFA</w:t>
      </w:r>
      <w:r w:rsidR="00164F49">
        <w:t> .</w:t>
      </w:r>
      <w:proofErr w:type="gramEnd"/>
    </w:p>
    <w:p w:rsidR="00FB491D" w:rsidRDefault="00FB491D" w:rsidP="00164F49">
      <w:pPr>
        <w:ind w:left="851" w:hanging="284"/>
      </w:pPr>
    </w:p>
    <w:sectPr w:rsidR="00F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D"/>
    <w:rsid w:val="00164F49"/>
    <w:rsid w:val="004B4013"/>
    <w:rsid w:val="007E2BFB"/>
    <w:rsid w:val="00BA1338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A40F"/>
  <w15:chartTrackingRefBased/>
  <w15:docId w15:val="{16A1A8D4-932F-4FD9-B06C-29DDDC9F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Baudelet</dc:creator>
  <cp:keywords/>
  <dc:description/>
  <cp:lastModifiedBy>Jacques Baudelet</cp:lastModifiedBy>
  <cp:revision>2</cp:revision>
  <dcterms:created xsi:type="dcterms:W3CDTF">2018-11-24T14:16:00Z</dcterms:created>
  <dcterms:modified xsi:type="dcterms:W3CDTF">2018-11-24T14:27:00Z</dcterms:modified>
</cp:coreProperties>
</file>